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FB4" w:rsidRDefault="00EC4FB4" w:rsidP="00654CE3">
      <w:pPr>
        <w:pStyle w:val="Titre"/>
        <w:rPr>
          <w:lang w:eastAsia="en-US"/>
        </w:rPr>
      </w:pPr>
      <w:r>
        <w:rPr>
          <w:lang w:eastAsia="en-US"/>
        </w:rPr>
        <w:t>RESSOURCE</w:t>
      </w:r>
    </w:p>
    <w:p w:rsidR="00654CE3" w:rsidRPr="00692C20" w:rsidRDefault="00654CE3" w:rsidP="00654CE3">
      <w:pPr>
        <w:pStyle w:val="Titre"/>
        <w:rPr>
          <w:lang w:eastAsia="en-US"/>
        </w:rPr>
      </w:pPr>
      <w:r>
        <w:rPr>
          <w:lang w:eastAsia="en-US"/>
        </w:rPr>
        <w:t>DELAIS DE PAIEMENT LEGAUX</w:t>
      </w:r>
    </w:p>
    <w:p w:rsidR="00654CE3" w:rsidRPr="00357A12" w:rsidRDefault="00654CE3" w:rsidP="0014618C">
      <w:pPr>
        <w:pStyle w:val="Titre1"/>
        <w:numPr>
          <w:ilvl w:val="0"/>
          <w:numId w:val="0"/>
        </w:numPr>
        <w:shd w:val="clear" w:color="auto" w:fill="DBE5F1" w:themeFill="accent1" w:themeFillTint="33"/>
        <w:spacing w:before="120"/>
        <w:ind w:left="720"/>
        <w:rPr>
          <w:rFonts w:asciiTheme="minorHAnsi" w:hAnsiTheme="minorHAnsi"/>
          <w:color w:val="1F497D" w:themeColor="text2"/>
          <w:u w:val="single"/>
        </w:rPr>
      </w:pPr>
      <w:r>
        <w:rPr>
          <w:rFonts w:asciiTheme="minorHAnsi" w:hAnsiTheme="minorHAnsi"/>
          <w:color w:val="1F497D" w:themeColor="text2"/>
          <w:u w:val="single"/>
        </w:rPr>
        <w:t>Délais de paiement légaux</w:t>
      </w:r>
    </w:p>
    <w:p w:rsidR="00654CE3" w:rsidRDefault="00704B42" w:rsidP="00654CE3">
      <w:hyperlink r:id="rId5" w:history="1">
        <w:r w:rsidR="00654CE3" w:rsidRPr="003A484E">
          <w:rPr>
            <w:rStyle w:val="Lienhypertexte"/>
          </w:rPr>
          <w:t>http://www.economie.gouv.fr/cedef/delais-de-paiement-entre-entreprises</w:t>
        </w:r>
      </w:hyperlink>
    </w:p>
    <w:p w:rsidR="00654CE3" w:rsidRDefault="00654CE3" w:rsidP="00654CE3"/>
    <w:p w:rsidR="00654CE3" w:rsidRPr="009A6C54" w:rsidRDefault="00654CE3" w:rsidP="00654CE3">
      <w:pPr>
        <w:rPr>
          <w:b/>
          <w:u w:val="single"/>
        </w:rPr>
      </w:pPr>
      <w:r w:rsidRPr="009A6C54">
        <w:rPr>
          <w:b/>
          <w:u w:val="single"/>
        </w:rPr>
        <w:t>Code de commerce - Article L441-6</w:t>
      </w:r>
    </w:p>
    <w:p w:rsidR="00654CE3" w:rsidRDefault="00654CE3" w:rsidP="00654CE3">
      <w:pPr>
        <w:numPr>
          <w:ilvl w:val="0"/>
          <w:numId w:val="1"/>
        </w:numPr>
        <w:spacing w:before="120"/>
        <w:ind w:left="714" w:hanging="357"/>
      </w:pPr>
      <w:r>
        <w:t xml:space="preserve">Modifié par </w:t>
      </w:r>
      <w:hyperlink r:id="rId6" w:anchor="LEGIARTI000029103039" w:history="1">
        <w:r>
          <w:rPr>
            <w:rStyle w:val="Lienhypertexte"/>
          </w:rPr>
          <w:t>LOI n°2014-626 du 18 juin 2014 - art. 68</w:t>
        </w:r>
      </w:hyperlink>
      <w:r>
        <w:t xml:space="preserve"> </w:t>
      </w:r>
    </w:p>
    <w:p w:rsidR="00654CE3" w:rsidRPr="009A6C54" w:rsidRDefault="00654CE3" w:rsidP="00654CE3">
      <w:pPr>
        <w:pStyle w:val="NormalWeb"/>
        <w:spacing w:before="60" w:beforeAutospacing="0" w:after="0" w:afterAutospacing="0"/>
        <w:jc w:val="both"/>
        <w:rPr>
          <w:rFonts w:ascii="Arial" w:hAnsi="Arial" w:cs="Arial"/>
          <w:i/>
          <w:sz w:val="18"/>
          <w:szCs w:val="18"/>
        </w:rPr>
      </w:pPr>
      <w:r w:rsidRPr="009A6C54">
        <w:rPr>
          <w:rFonts w:ascii="Arial" w:hAnsi="Arial" w:cs="Arial"/>
          <w:i/>
          <w:sz w:val="18"/>
          <w:szCs w:val="18"/>
        </w:rPr>
        <w:t xml:space="preserve">I. - Tout producteur, prestataire de services, grossiste ou importateur est tenu de communiquer ses conditions générales de vente à tout acheteur de produits ou tout demandeur de prestations de services qui en fait la demande pour une activité professionnelle. Elles comprennent : </w:t>
      </w:r>
    </w:p>
    <w:p w:rsidR="00654CE3" w:rsidRPr="009A6C54" w:rsidRDefault="00654CE3" w:rsidP="00654CE3">
      <w:pPr>
        <w:pStyle w:val="NormalWeb"/>
        <w:spacing w:before="60" w:beforeAutospacing="0" w:after="0" w:afterAutospacing="0"/>
        <w:jc w:val="both"/>
        <w:rPr>
          <w:rFonts w:ascii="Arial" w:hAnsi="Arial" w:cs="Arial"/>
          <w:i/>
          <w:sz w:val="18"/>
          <w:szCs w:val="18"/>
        </w:rPr>
      </w:pPr>
      <w:r w:rsidRPr="009A6C54">
        <w:rPr>
          <w:rFonts w:ascii="Arial" w:hAnsi="Arial" w:cs="Arial"/>
          <w:i/>
          <w:sz w:val="18"/>
          <w:szCs w:val="18"/>
        </w:rPr>
        <w:t xml:space="preserve">- les conditions de vente ; </w:t>
      </w:r>
    </w:p>
    <w:p w:rsidR="00654CE3" w:rsidRPr="009A6C54" w:rsidRDefault="00654CE3" w:rsidP="00654CE3">
      <w:pPr>
        <w:pStyle w:val="NormalWeb"/>
        <w:spacing w:before="60" w:beforeAutospacing="0" w:after="0" w:afterAutospacing="0"/>
        <w:jc w:val="both"/>
        <w:rPr>
          <w:rFonts w:ascii="Arial" w:hAnsi="Arial" w:cs="Arial"/>
          <w:i/>
          <w:sz w:val="18"/>
          <w:szCs w:val="18"/>
        </w:rPr>
      </w:pPr>
      <w:r w:rsidRPr="009A6C54">
        <w:rPr>
          <w:rFonts w:ascii="Arial" w:hAnsi="Arial" w:cs="Arial"/>
          <w:i/>
          <w:sz w:val="18"/>
          <w:szCs w:val="18"/>
        </w:rPr>
        <w:t xml:space="preserve">- le barème des prix unitaires ; </w:t>
      </w:r>
    </w:p>
    <w:p w:rsidR="00654CE3" w:rsidRPr="009A6C54" w:rsidRDefault="00654CE3" w:rsidP="00654CE3">
      <w:pPr>
        <w:pStyle w:val="NormalWeb"/>
        <w:spacing w:before="60" w:beforeAutospacing="0" w:after="0" w:afterAutospacing="0"/>
        <w:jc w:val="both"/>
        <w:rPr>
          <w:rFonts w:ascii="Arial" w:hAnsi="Arial" w:cs="Arial"/>
          <w:i/>
          <w:sz w:val="18"/>
          <w:szCs w:val="18"/>
        </w:rPr>
      </w:pPr>
      <w:r w:rsidRPr="009A6C54">
        <w:rPr>
          <w:rFonts w:ascii="Arial" w:hAnsi="Arial" w:cs="Arial"/>
          <w:i/>
          <w:sz w:val="18"/>
          <w:szCs w:val="18"/>
        </w:rPr>
        <w:t xml:space="preserve">- les réductions de prix ; </w:t>
      </w:r>
    </w:p>
    <w:p w:rsidR="00654CE3" w:rsidRPr="009A6C54" w:rsidRDefault="00654CE3" w:rsidP="00654CE3">
      <w:pPr>
        <w:pStyle w:val="NormalWeb"/>
        <w:spacing w:before="60" w:beforeAutospacing="0" w:after="0" w:afterAutospacing="0"/>
        <w:jc w:val="both"/>
        <w:rPr>
          <w:rFonts w:ascii="Arial" w:hAnsi="Arial" w:cs="Arial"/>
          <w:i/>
          <w:sz w:val="18"/>
          <w:szCs w:val="18"/>
        </w:rPr>
      </w:pPr>
      <w:r w:rsidRPr="009A6C54">
        <w:rPr>
          <w:rFonts w:ascii="Arial" w:hAnsi="Arial" w:cs="Arial"/>
          <w:i/>
          <w:sz w:val="18"/>
          <w:szCs w:val="18"/>
        </w:rPr>
        <w:t xml:space="preserve">- les conditions de règlement.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Les conditions générales de vente peuvent être différenciées selon les catégories d'acheteurs de produits ou de demandeurs de prestation de services. Dans ce cas, l'obligation de communication prescrite au premier alinéa porte sur les conditions générales de vente applicables aux acheteurs de produits ou aux demandeurs de prestation de services d'une même catégorie.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Les conditions générales de vente constituent le socle unique de la négociation commerciale. Dans le cadre de cette négociation, tout producteur, prestataire de services, grossiste ou importateur peut convenir avec un acheteur de produits ou demandeur de prestation de services de conditions particulières de vente qui ne sont pas soumises à l'obligation de communication prescrite au premier alinéa.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Sauf dispositions contraires figurant aux conditions de vente ou convenues entre les parties, le délai de règlement des sommes dues est fixé au trentième jour suivant la date de réception des marchandises ou d'exécution de la prestation demandée.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D61F8C">
        <w:rPr>
          <w:rFonts w:ascii="Arial" w:hAnsi="Arial" w:cs="Arial"/>
          <w:i/>
          <w:sz w:val="18"/>
          <w:szCs w:val="18"/>
          <w:highlight w:val="yellow"/>
        </w:rPr>
        <w:t xml:space="preserve">Le délai convenu entre les parties pour régler les sommes dues ne peut dépasser quarante-cinq jours fin de mois ou soixante jours à compter de la date d'émission de la facture. En cas de facture périodique, au sens du 3 du I de l'article </w:t>
      </w:r>
      <w:hyperlink r:id="rId7" w:history="1">
        <w:r w:rsidRPr="00D61F8C">
          <w:rPr>
            <w:rStyle w:val="Lienhypertexte"/>
            <w:rFonts w:ascii="Arial" w:eastAsiaTheme="majorEastAsia" w:hAnsi="Arial" w:cs="Arial"/>
            <w:i/>
            <w:color w:val="336699"/>
            <w:sz w:val="18"/>
            <w:szCs w:val="18"/>
            <w:highlight w:val="yellow"/>
          </w:rPr>
          <w:t xml:space="preserve">289 </w:t>
        </w:r>
      </w:hyperlink>
      <w:r w:rsidRPr="00D61F8C">
        <w:rPr>
          <w:rFonts w:ascii="Arial" w:hAnsi="Arial" w:cs="Arial"/>
          <w:i/>
          <w:sz w:val="18"/>
          <w:szCs w:val="18"/>
          <w:highlight w:val="yellow"/>
        </w:rPr>
        <w:t>du code général des impôts, ce délai ne peut dépasser quarante-cinq jours à compter de la date d'émission de la facture.</w:t>
      </w:r>
      <w:r w:rsidRPr="009A6C54">
        <w:rPr>
          <w:rFonts w:ascii="Arial" w:hAnsi="Arial" w:cs="Arial"/>
          <w:i/>
          <w:sz w:val="18"/>
          <w:szCs w:val="18"/>
        </w:rPr>
        <w:t xml:space="preserv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Les professionnels d'un secteur, clients et fournisseurs, peuvent décider conjointement de réduire le délai maximum de paiement fixé à l'alinéa précédent. Ils peuvent également proposer de retenir la date de réception des marchandises ou d'exécution de la prestation de services demandée comme point de départ de ce délai. Des accords peuvent être conclus à cet effet par leurs organisations professionnelles. Un décret peut étendre le nouveau délai maximum de paiement à tous les opérateurs du secteur ou, le cas échéant, valider le nouveau mode de computation et l'étendre à ces mêmes opérateurs.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Nonobstant les dispositions précédentes, pour le transport routier de marchandises, pour la location de véhicules avec ou sans conducteur, pour la commission de transport ainsi que pour les activités de transitaire, d'agent maritime et de fret aérien, de courtier de fret et de commissionnaire en douane, les délais de paiement convenus ne peuvent en aucun cas dépasser trente jours à compter de la date d'émission de la facture.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Les conditions de règlement doivent obligatoirement préciser les conditions d'application et le taux d'intérêt des pénalités de retard exigibles le jour suivant la date de règlement figurant sur la facture ainsi que le montant de l'indemnité forfaitaire pour frais de recouvrement due au créancier dans le cas où les sommes dues sont réglées après cette date. Sauf disposition contraire qui ne peut toutefois fixer un taux inférieur à trois fois le taux d'intérêt légal, ce taux est égal au taux d'intérêt appliqué par la Banque centrale européenne à son opération de refinancement la plus récente majoré de 10 points de pourcentage. Dans ce cas, le taux applicable pendant le premier semestre de l'année concernée est le taux en vigueur au 1er janvier de l'année en question. Pour le second semestre de l'année concernée, il est le taux en vigueur au 1er juillet de l'année en question. Les pénalités de retard sont exigibles sans qu'un rappel soit nécessaire. Tout professionnel en situation de retard de paiement est de plein droit débiteur, à l'égard du créancier, d'une indemnité forfaitaire pour frais de recouvrement, dont le montant est fixé par décret. Lorsque les frais de recouvrement exposés sont supérieurs au montant de cette indemnité forfaitaire, le créancier peut demander une indemnisation complémentaire, sur justification. Toutefois, le créancier ne peut invoquer le bénéfice de ces indemnités lorsque l'ouverture d'une procédure de sauvegarde, de redressement ou de liquidation judiciaire interdit le paiement à son échéance de la créance qui lui est due.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La communication prévue au premier alinéa s'effectue par tout moyen conforme aux usages de la profession.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lastRenderedPageBreak/>
        <w:t xml:space="preserve">II. - Lorsque le prix d'un service ou d'un type de service ne peut être déterminé a priori ou indiqué avec exactitude, le prestataire de services est tenu de communiquer au destinataire qui en fait la demande la méthode de calcul du prix permettant de vérifier ce dernier, ou un devis suffisamment détaillé.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III. - Tout prestataire de services est également tenu à l'égard de tout destinataire de prestations de services des obligations d'information définies à l'</w:t>
      </w:r>
      <w:hyperlink r:id="rId8" w:history="1">
        <w:r w:rsidRPr="009A6C54">
          <w:rPr>
            <w:rStyle w:val="Lienhypertexte"/>
            <w:rFonts w:ascii="Arial" w:eastAsiaTheme="majorEastAsia" w:hAnsi="Arial" w:cs="Arial"/>
            <w:i/>
            <w:color w:val="336699"/>
            <w:sz w:val="18"/>
            <w:szCs w:val="18"/>
          </w:rPr>
          <w:t>article L. 111-2 du code de la consommation</w:t>
        </w:r>
      </w:hyperlink>
      <w:r w:rsidRPr="009A6C54">
        <w:rPr>
          <w:rFonts w:ascii="Arial" w:hAnsi="Arial" w:cs="Arial"/>
          <w:i/>
          <w:sz w:val="18"/>
          <w:szCs w:val="18"/>
        </w:rPr>
        <w:t xml:space="preserv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Cette obligation ne s'applique pas aux services mentionnés aux livres Ier à III et au titre V du livre V du code monétaire et financier ainsi qu'aux opérations pratiquées par les entreprises régies par le code des assurances, par les mutuelles et unions régies par le livre II du code de la mutualité et par les institutions de prévoyance et unions régies par le titre III du livre IX du code de la sécurité sociale.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IV. - Sous réserve de dispositions spécifiques plus favorables au créancier, lorsqu'une procédure d'acceptation ou de vérification permettant de certifier la conformité des marchandises ou des services au contrat est prévue, la durée de cette procédure est fixée conformément aux bonnes pratiques et usages commerciaux et, en tout état de cause, n'excède pas trente jours à compter de la date de réception des marchandises ou de réalisation de la prestation des services, à moins qu'il n'en soit expressément stipulé autrement par contrat et pourvu que cela ne constitue pas une clause ou pratique abusive au sens du second alinéa du VI du présent article ou de l'article </w:t>
      </w:r>
      <w:hyperlink r:id="rId9" w:history="1">
        <w:r w:rsidRPr="009A6C54">
          <w:rPr>
            <w:rStyle w:val="Lienhypertexte"/>
            <w:rFonts w:ascii="Arial" w:eastAsiaTheme="majorEastAsia" w:hAnsi="Arial" w:cs="Arial"/>
            <w:i/>
            <w:color w:val="336699"/>
            <w:sz w:val="18"/>
            <w:szCs w:val="18"/>
          </w:rPr>
          <w:t>L. 442-6</w:t>
        </w:r>
      </w:hyperlink>
      <w:r w:rsidRPr="009A6C54">
        <w:rPr>
          <w:rFonts w:ascii="Arial" w:hAnsi="Arial" w:cs="Arial"/>
          <w:i/>
          <w:sz w:val="18"/>
          <w:szCs w:val="18"/>
        </w:rPr>
        <w:t xml:space="preserve">. La durée de la procédure d'acceptation ou de vérification ne peut avoir pour effet ni d'augmenter la durée, ni de décaler le point de départ du délai maximal de paiement prévu au neuvième alinéa du I, à moins qu'il n'en soit expressément stipulé autrement par contrat et pourvu que cela ne constitue pas une clause ou pratique abusive, au sens du second alinéa du VI du présent article ou de l'article L. 442-6.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V. - Pour les livraisons de marchandises qui font l'objet d'une importation dans le territoire fiscal des départements de la Guadeloupe, de la Martinique, de la Guyane, de La Réunion et de Mayotte ainsi que des collectivités d'outre-mer de Saint-Barthélemy, de Saint-Martin, des îles Wallis et Futuna et de Saint-Pierre-et-Miquelon, les délais de paiement prévus aux huitième et neuvième alinéas du I du présent article sont décomptés à partir de la date de dédouanement de la marchandise au port de destination finale. Lorsque la marchandise est mise à la disposition de l'acheteur, ou de son représentant, en métropole, le délai est décompté à partir du vingt et unième jour suivant la date de cette mise à disposition ou à partir de la date du dédouanement si celle-ci est antérieure.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 xml:space="preserve">VI. - Sont passibles d'une amende administrative dont le montant ne peut excéder 75 000 € pour une personne physique et 375 000 € pour une personne morale le fait de ne pas respecter les délais de paiement mentionnés aux huitième, neuvième et onzième alinéas du I du présent article, le fait de ne pas indiquer dans les conditions de règlement les mentions figurant à la première phrase du douzième alinéa du même I, le fait de fixer un taux ou des conditions d'exigibilité des pénalités de retard selon des modalités non conformes à ce même alinéa ainsi que le fait de ne pas respecter les modalités de computation des délais de paiement convenues entre les parties conformément au neuvième alinéa dudit I. L'amende est prononcée dans les conditions prévues à l'article </w:t>
      </w:r>
      <w:hyperlink r:id="rId10" w:history="1">
        <w:r w:rsidRPr="009A6C54">
          <w:rPr>
            <w:rStyle w:val="Lienhypertexte"/>
            <w:rFonts w:ascii="Arial" w:eastAsiaTheme="majorEastAsia" w:hAnsi="Arial" w:cs="Arial"/>
            <w:i/>
            <w:color w:val="336699"/>
            <w:sz w:val="18"/>
            <w:szCs w:val="18"/>
          </w:rPr>
          <w:t>L. 465-2</w:t>
        </w:r>
      </w:hyperlink>
      <w:r w:rsidRPr="009A6C54">
        <w:rPr>
          <w:rFonts w:ascii="Arial" w:hAnsi="Arial" w:cs="Arial"/>
          <w:i/>
          <w:sz w:val="18"/>
          <w:szCs w:val="18"/>
        </w:rPr>
        <w:t xml:space="preserve">. Le montant de l'amende encourue est doublé en cas de réitération du manquement dans un délai de deux ans à compter de la date à laquelle la première décision de sanction est devenue définitive. </w:t>
      </w:r>
    </w:p>
    <w:p w:rsidR="00654CE3" w:rsidRPr="009A6C54" w:rsidRDefault="00654CE3" w:rsidP="00654CE3">
      <w:pPr>
        <w:pStyle w:val="NormalWeb"/>
        <w:spacing w:before="120" w:beforeAutospacing="0" w:after="0" w:afterAutospacing="0"/>
        <w:jc w:val="both"/>
        <w:rPr>
          <w:rFonts w:ascii="Arial" w:hAnsi="Arial" w:cs="Arial"/>
          <w:i/>
          <w:sz w:val="18"/>
          <w:szCs w:val="18"/>
        </w:rPr>
      </w:pPr>
      <w:r w:rsidRPr="009A6C54">
        <w:rPr>
          <w:rFonts w:ascii="Arial" w:hAnsi="Arial" w:cs="Arial"/>
          <w:i/>
          <w:sz w:val="18"/>
          <w:szCs w:val="18"/>
        </w:rPr>
        <w:t>Sous les mêmes sanctions, sont interdites toutes clauses ou pratiques ayant pour effet de retarder abusivement le point de départ des délais de paiement mentionnés au présent article.</w:t>
      </w:r>
    </w:p>
    <w:p w:rsidR="00654CE3" w:rsidRDefault="00654CE3" w:rsidP="00654CE3">
      <w:pPr>
        <w:jc w:val="both"/>
        <w:rPr>
          <w:rFonts w:ascii="Arial" w:hAnsi="Arial" w:cs="Arial"/>
          <w:i/>
          <w:sz w:val="18"/>
          <w:szCs w:val="18"/>
        </w:rPr>
      </w:pPr>
    </w:p>
    <w:p w:rsidR="00654CE3" w:rsidRPr="009A6C54" w:rsidRDefault="00654CE3" w:rsidP="00654CE3">
      <w:pPr>
        <w:jc w:val="both"/>
        <w:rPr>
          <w:rFonts w:ascii="Arial" w:hAnsi="Arial" w:cs="Arial"/>
          <w:i/>
          <w:sz w:val="18"/>
          <w:szCs w:val="18"/>
        </w:rPr>
      </w:pPr>
      <w:r w:rsidRPr="009A6C54">
        <w:rPr>
          <w:rFonts w:ascii="Arial" w:hAnsi="Arial" w:cs="Arial"/>
          <w:i/>
          <w:sz w:val="18"/>
          <w:szCs w:val="18"/>
        </w:rPr>
        <w:t>NOTA : Conformément à la loi n° 2014-626 du 18 juin 2014, article 68 II, les faits mentionnés au premier alinéa du VI de l'article L. 441-6 du code de commerce commis antérieurement à l'entrée en vigueur de la présente loi restent régis par l'article L. 441-6 du même code dans sa rédaction en vigueur au moment des faits.</w:t>
      </w:r>
    </w:p>
    <w:p w:rsidR="00654CE3" w:rsidRDefault="00654CE3"/>
    <w:sectPr w:rsidR="00654CE3" w:rsidSect="002E549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06424"/>
    <w:multiLevelType w:val="multilevel"/>
    <w:tmpl w:val="1CAAF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FB175F"/>
    <w:multiLevelType w:val="hybridMultilevel"/>
    <w:tmpl w:val="AAF027F2"/>
    <w:lvl w:ilvl="0" w:tplc="6A5E19C8">
      <w:start w:val="1"/>
      <w:numFmt w:val="decimal"/>
      <w:lvlText w:val="%1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B456C30"/>
    <w:multiLevelType w:val="multilevel"/>
    <w:tmpl w:val="5CD02BFE"/>
    <w:lvl w:ilvl="0">
      <w:start w:val="1"/>
      <w:numFmt w:val="decimal"/>
      <w:pStyle w:val="Titre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654CE3"/>
    <w:rsid w:val="000B0252"/>
    <w:rsid w:val="000B72B6"/>
    <w:rsid w:val="0014618C"/>
    <w:rsid w:val="00216BBE"/>
    <w:rsid w:val="002E5490"/>
    <w:rsid w:val="00382142"/>
    <w:rsid w:val="00654CE3"/>
    <w:rsid w:val="00704B42"/>
    <w:rsid w:val="009C64B1"/>
    <w:rsid w:val="00A35095"/>
    <w:rsid w:val="00C00EEC"/>
    <w:rsid w:val="00CE4CF6"/>
    <w:rsid w:val="00D61F8C"/>
    <w:rsid w:val="00DC7EDB"/>
    <w:rsid w:val="00EC4FB4"/>
    <w:rsid w:val="00EE626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4CE3"/>
    <w:pPr>
      <w:ind w:right="0"/>
    </w:pPr>
  </w:style>
  <w:style w:type="paragraph" w:styleId="Titre1">
    <w:name w:val="heading 1"/>
    <w:basedOn w:val="Normal"/>
    <w:next w:val="Normal"/>
    <w:link w:val="Titre1Car"/>
    <w:uiPriority w:val="9"/>
    <w:qFormat/>
    <w:rsid w:val="00654CE3"/>
    <w:pPr>
      <w:keepNext/>
      <w:keepLines/>
      <w:numPr>
        <w:numId w:val="2"/>
      </w:numPr>
      <w:spacing w:before="240" w:after="12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54CE3"/>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654CE3"/>
    <w:rPr>
      <w:color w:val="0000FF" w:themeColor="hyperlink"/>
      <w:u w:val="single"/>
    </w:rPr>
  </w:style>
  <w:style w:type="paragraph" w:styleId="NormalWeb">
    <w:name w:val="Normal (Web)"/>
    <w:basedOn w:val="Normal"/>
    <w:uiPriority w:val="99"/>
    <w:semiHidden/>
    <w:unhideWhenUsed/>
    <w:rsid w:val="00654CE3"/>
    <w:pPr>
      <w:spacing w:before="100" w:beforeAutospacing="1" w:after="100" w:afterAutospacing="1"/>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654CE3"/>
    <w:rPr>
      <w:rFonts w:ascii="Tahoma" w:hAnsi="Tahoma" w:cs="Tahoma"/>
      <w:sz w:val="16"/>
      <w:szCs w:val="16"/>
    </w:rPr>
  </w:style>
  <w:style w:type="character" w:customStyle="1" w:styleId="TextedebullesCar">
    <w:name w:val="Texte de bulles Car"/>
    <w:basedOn w:val="Policepardfaut"/>
    <w:link w:val="Textedebulles"/>
    <w:uiPriority w:val="99"/>
    <w:semiHidden/>
    <w:rsid w:val="00654CE3"/>
    <w:rPr>
      <w:rFonts w:ascii="Tahoma" w:hAnsi="Tahoma" w:cs="Tahoma"/>
      <w:sz w:val="16"/>
      <w:szCs w:val="16"/>
    </w:rPr>
  </w:style>
  <w:style w:type="paragraph" w:styleId="Titre">
    <w:name w:val="Title"/>
    <w:basedOn w:val="Normal"/>
    <w:next w:val="Normal"/>
    <w:link w:val="TitreCar"/>
    <w:uiPriority w:val="10"/>
    <w:qFormat/>
    <w:rsid w:val="00654CE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fr-FR"/>
    </w:rPr>
  </w:style>
  <w:style w:type="character" w:customStyle="1" w:styleId="TitreCar">
    <w:name w:val="Titre Car"/>
    <w:basedOn w:val="Policepardfaut"/>
    <w:link w:val="Titre"/>
    <w:uiPriority w:val="10"/>
    <w:rsid w:val="00654CE3"/>
    <w:rPr>
      <w:rFonts w:asciiTheme="majorHAnsi" w:eastAsiaTheme="majorEastAsia" w:hAnsiTheme="majorHAnsi" w:cstheme="majorBidi"/>
      <w:color w:val="17365D" w:themeColor="text2" w:themeShade="BF"/>
      <w:spacing w:val="5"/>
      <w:kern w:val="28"/>
      <w:sz w:val="52"/>
      <w:szCs w:val="52"/>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gifrance.gouv.fr/affichCodeArticle.do;jsessionid=759C314C6096133287E7A49E81D62F62.tpdjo04v_3?cidTexte=LEGITEXT000006069565&amp;idArticle=LEGIARTI000006291868&amp;dateTexte=&amp;categorieLien=cid" TargetMode="External"/><Relationship Id="rId3" Type="http://schemas.openxmlformats.org/officeDocument/2006/relationships/settings" Target="settings.xml"/><Relationship Id="rId7" Type="http://schemas.openxmlformats.org/officeDocument/2006/relationships/hyperlink" Target="http://www.legifrance.gouv.fr/affichCodeArticle.do;jsessionid=759C314C6096133287E7A49E81D62F62.tpdjo04v_3?cidTexte=LEGITEXT000006069577&amp;idArticle=LEGIARTI000006309544&amp;dateTexte=&amp;categorieLien=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egifrance.gouv.fr/affichTexteArticle.do;jsessionid=759C314C6096133287E7A49E81D62F62.tpdjo04v_3?cidTexte=JORFTEXT000029101502&amp;idArticle=LEGIARTI000029103039&amp;dateTexte=20141002&amp;categorieLien=id" TargetMode="External"/><Relationship Id="rId11" Type="http://schemas.openxmlformats.org/officeDocument/2006/relationships/fontTable" Target="fontTable.xml"/><Relationship Id="rId5" Type="http://schemas.openxmlformats.org/officeDocument/2006/relationships/hyperlink" Target="http://www.economie.gouv.fr/cedef/delais-de-paiement-entre-entreprises" TargetMode="External"/><Relationship Id="rId10" Type="http://schemas.openxmlformats.org/officeDocument/2006/relationships/hyperlink" Target="http://www.legifrance.gouv.fr/affichCodeArticle.do;jsessionid=759C314C6096133287E7A49E81D62F62.tpdjo04v_3?cidTexte=LEGITEXT000005634379&amp;idArticle=LEGIARTI000028744094&amp;dateTexte=&amp;categorieLien=cid" TargetMode="External"/><Relationship Id="rId4" Type="http://schemas.openxmlformats.org/officeDocument/2006/relationships/webSettings" Target="webSettings.xml"/><Relationship Id="rId9" Type="http://schemas.openxmlformats.org/officeDocument/2006/relationships/hyperlink" Target="http://www.legifrance.gouv.fr/affichCodeArticle.do;jsessionid=759C314C6096133287E7A49E81D62F62.tpdjo04v_3?cidTexte=LEGITEXT000005634379&amp;idArticle=LEGIARTI000006232309&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1568</Words>
  <Characters>8626</Characters>
  <Application>Microsoft Office Word</Application>
  <DocSecurity>0</DocSecurity>
  <Lines>71</Lines>
  <Paragraphs>20</Paragraphs>
  <ScaleCrop>false</ScaleCrop>
  <Company/>
  <LinksUpToDate>false</LinksUpToDate>
  <CharactersWithSpaces>10174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Daniel Perrin Toinin</cp:lastModifiedBy>
  <cp:revision>6</cp:revision>
  <dcterms:created xsi:type="dcterms:W3CDTF">2014-11-20T12:41:00Z</dcterms:created>
  <dcterms:modified xsi:type="dcterms:W3CDTF">2014-11-24T21:43:00Z</dcterms:modified>
</cp:coreProperties>
</file>